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Haninge kommunfullmäktige</w:t>
      </w:r>
    </w:p>
    <w:p>
      <w:pPr>
        <w:pStyle w:val="Heading1"/>
      </w:pPr>
      <w:r>
        <w:t xml:space="preserve">Effektiv integration med språk och jobb i Haninge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Haninge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är lägre än genomsnittet. Språkkrav saknas i många insatser.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Haninge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språkkrav för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utöka SFI med arbetsplatsförlagd utbildning.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samarbeta med näringslivet om praktikplatser.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sysselsättningsstatistik per år.</w:t>
      </w:r>
    </w:p>
    <w:p>
      <w:pPr>
        <w:spacing w:before="360"/>
      </w:pPr>
    </w:p>
    <w:p>
      <w:r>
        <w:t xml:space="preserve">Haninge,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Haninge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2026-06-06T01:48:23.132Z</dcterms:created>
  <dcterms:modified xsi:type="dcterms:W3CDTF">2026-06-06T01:48:23.132Z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